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sz w:val="24"/>
          <w:szCs w:val="24"/>
          <w:rtl w:val="0"/>
          <w:lang w:val="en-US"/>
        </w:rPr>
        <w:tab/>
        <w:tab/>
        <w:tab/>
        <w:tab/>
        <w:tab/>
        <w:tab/>
        <w:tab/>
        <w:t xml:space="preserve">  </w:t>
      </w:r>
    </w:p>
    <w:p>
      <w:pPr>
        <w:pStyle w:val="Body"/>
        <w:jc w:val="both"/>
      </w:pPr>
      <w:r>
        <w:rPr>
          <w:sz w:val="28"/>
          <w:szCs w:val="28"/>
          <w:rtl w:val="0"/>
          <w:lang w:val="en-US"/>
        </w:rPr>
        <w:t>I wish to object to the 2017 Proposed Submission of the Local Plan (S</w:t>
      </w:r>
      <w:r>
        <w:rPr>
          <w:sz w:val="28"/>
          <w:szCs w:val="28"/>
          <w:rtl w:val="0"/>
        </w:rPr>
        <w:t xml:space="preserve">trategy and </w:t>
      </w:r>
      <w:r>
        <w:rPr>
          <w:sz w:val="28"/>
          <w:szCs w:val="28"/>
          <w:rtl w:val="0"/>
          <w:lang w:val="en-US"/>
        </w:rPr>
        <w:t>S</w:t>
      </w:r>
      <w:r>
        <w:rPr>
          <w:sz w:val="28"/>
          <w:szCs w:val="28"/>
          <w:rtl w:val="0"/>
          <w:lang w:val="fr-FR"/>
        </w:rPr>
        <w:t>ites</w:t>
      </w:r>
      <w:r>
        <w:rPr>
          <w:sz w:val="28"/>
          <w:szCs w:val="28"/>
          <w:rtl w:val="0"/>
          <w:lang w:val="en-US"/>
        </w:rPr>
        <w:t>) for the following reasons.</w:t>
      </w:r>
    </w:p>
    <w:p>
      <w:pPr>
        <w:pStyle w:val="Body"/>
        <w:jc w:val="both"/>
      </w:pPr>
    </w:p>
    <w:p>
      <w:pPr>
        <w:pStyle w:val="Body"/>
        <w:jc w:val="both"/>
      </w:pPr>
    </w:p>
    <w:p>
      <w:pPr>
        <w:pStyle w:val="Body"/>
        <w:jc w:val="both"/>
      </w:pPr>
    </w:p>
    <w:p>
      <w:pPr>
        <w:pStyle w:val="Body"/>
        <w:numPr>
          <w:ilvl w:val="0"/>
          <w:numId w:val="2"/>
        </w:numPr>
        <w:jc w:val="both"/>
        <w:rPr>
          <w:b w:val="1"/>
          <w:bCs w:val="1"/>
          <w:sz w:val="28"/>
          <w:szCs w:val="28"/>
          <w:u w:val="single"/>
          <w:lang w:val="en-US"/>
        </w:rPr>
      </w:pPr>
      <w:r>
        <w:rPr>
          <w:b w:val="1"/>
          <w:bCs w:val="1"/>
          <w:sz w:val="28"/>
          <w:szCs w:val="28"/>
          <w:u w:val="single"/>
          <w:rtl w:val="0"/>
          <w:lang w:val="en-US"/>
        </w:rPr>
        <w:t>Policy P3 - Countryside</w:t>
      </w:r>
    </w:p>
    <w:p>
      <w:pPr>
        <w:pStyle w:val="Body"/>
        <w:jc w:val="both"/>
      </w:pPr>
    </w:p>
    <w:p>
      <w:pPr>
        <w:pStyle w:val="Body"/>
        <w:numPr>
          <w:ilvl w:val="0"/>
          <w:numId w:val="4"/>
        </w:numPr>
        <w:jc w:val="both"/>
        <w:rPr>
          <w:sz w:val="28"/>
          <w:szCs w:val="28"/>
          <w:lang w:val="en-US"/>
        </w:rPr>
      </w:pPr>
      <w:r>
        <w:rPr>
          <w:sz w:val="28"/>
          <w:szCs w:val="28"/>
          <w:rtl w:val="0"/>
          <w:lang w:val="en-US"/>
        </w:rPr>
        <w:t>Ash Green is not part of the Ash &amp; Tongham Urban Area and therefore the ATUA boundary must not extend south of Ash Green Road and Foreman Road</w:t>
      </w:r>
    </w:p>
    <w:p>
      <w:pPr>
        <w:pStyle w:val="Body"/>
        <w:jc w:val="both"/>
      </w:pPr>
    </w:p>
    <w:p>
      <w:pPr>
        <w:pStyle w:val="Body"/>
        <w:numPr>
          <w:ilvl w:val="0"/>
          <w:numId w:val="4"/>
        </w:numPr>
        <w:jc w:val="both"/>
        <w:rPr>
          <w:sz w:val="28"/>
          <w:szCs w:val="28"/>
          <w:lang w:val="en-US"/>
        </w:rPr>
      </w:pPr>
      <w:r>
        <w:rPr>
          <w:b w:val="1"/>
          <w:bCs w:val="1"/>
          <w:sz w:val="28"/>
          <w:szCs w:val="28"/>
          <w:rtl w:val="0"/>
          <w:lang w:val="en-US"/>
        </w:rPr>
        <w:t>4.3.29 Amend to:</w:t>
      </w:r>
      <w:r>
        <w:rPr>
          <w:sz w:val="28"/>
          <w:szCs w:val="28"/>
          <w:rtl w:val="0"/>
          <w:lang w:val="en-US"/>
        </w:rPr>
        <w:t xml:space="preserve"> “</w:t>
      </w:r>
      <w:r>
        <w:rPr>
          <w:i w:val="1"/>
          <w:iCs w:val="1"/>
          <w:color w:val="221f1f"/>
          <w:sz w:val="28"/>
          <w:szCs w:val="28"/>
          <w:rtl w:val="0"/>
          <w:lang w:val="en-US"/>
        </w:rPr>
        <w:t xml:space="preserve">Originally consisting of the three small rural villages of Ash, Ash Vale and Tongham, the Ash and Tongham urban area has grown considerably </w:t>
      </w:r>
      <w:r>
        <w:rPr>
          <w:i w:val="1"/>
          <w:iCs w:val="1"/>
          <w:sz w:val="28"/>
          <w:szCs w:val="28"/>
          <w:rtl w:val="0"/>
          <w:lang w:val="en-US"/>
        </w:rPr>
        <w:t>in size and now forms Guildford borough</w:t>
      </w:r>
      <w:r>
        <w:rPr>
          <w:i w:val="1"/>
          <w:iCs w:val="1"/>
          <w:sz w:val="28"/>
          <w:szCs w:val="28"/>
          <w:rtl w:val="0"/>
        </w:rPr>
        <w:t>’</w:t>
      </w:r>
      <w:r>
        <w:rPr>
          <w:i w:val="1"/>
          <w:iCs w:val="1"/>
          <w:sz w:val="28"/>
          <w:szCs w:val="28"/>
          <w:rtl w:val="0"/>
          <w:lang w:val="en-US"/>
        </w:rPr>
        <w:t xml:space="preserve">s second largest urban area. </w:t>
      </w:r>
      <w:r>
        <w:rPr>
          <w:i w:val="1"/>
          <w:iCs w:val="1"/>
          <w:sz w:val="28"/>
          <w:szCs w:val="28"/>
          <w:rtl w:val="0"/>
          <w:lang w:val="en-US"/>
        </w:rPr>
        <w:t>C</w:t>
      </w:r>
      <w:r>
        <w:rPr>
          <w:i w:val="1"/>
          <w:iCs w:val="1"/>
          <w:sz w:val="28"/>
          <w:szCs w:val="28"/>
          <w:rtl w:val="0"/>
          <w:lang w:val="en-US"/>
        </w:rPr>
        <w:t xml:space="preserve">ountryside </w:t>
      </w:r>
      <w:r>
        <w:rPr>
          <w:i w:val="1"/>
          <w:iCs w:val="1"/>
          <w:sz w:val="28"/>
          <w:szCs w:val="28"/>
          <w:rtl w:val="0"/>
          <w:lang w:val="en-US"/>
        </w:rPr>
        <w:t>within the urban area to the south and east</w:t>
      </w:r>
      <w:r>
        <w:rPr>
          <w:i w:val="1"/>
          <w:iCs w:val="1"/>
          <w:sz w:val="28"/>
          <w:szCs w:val="28"/>
          <w:rtl w:val="0"/>
          <w:lang w:val="en-US"/>
        </w:rPr>
        <w:t xml:space="preserve"> is allocated as a strategic location for development</w:t>
      </w:r>
      <w:r>
        <w:rPr>
          <w:i w:val="1"/>
          <w:iCs w:val="1"/>
          <w:sz w:val="28"/>
          <w:szCs w:val="28"/>
          <w:rtl w:val="0"/>
          <w:lang w:val="en-US"/>
        </w:rPr>
        <w:t>.  However to make this growth sustainable, suitable infrastructure must be implemented before further development</w:t>
      </w:r>
      <w:r>
        <w:rPr>
          <w:sz w:val="28"/>
          <w:szCs w:val="28"/>
          <w:rtl w:val="0"/>
        </w:rPr>
        <w:t>.</w:t>
      </w:r>
      <w:r>
        <w:rPr>
          <w:sz w:val="28"/>
          <w:szCs w:val="28"/>
          <w:rtl w:val="0"/>
          <w:lang w:val="en-US"/>
        </w:rPr>
        <w:t>”</w:t>
      </w:r>
    </w:p>
    <w:p>
      <w:pPr>
        <w:pStyle w:val="Body"/>
        <w:jc w:val="both"/>
      </w:pPr>
    </w:p>
    <w:p>
      <w:pPr>
        <w:pStyle w:val="Body"/>
        <w:numPr>
          <w:ilvl w:val="0"/>
          <w:numId w:val="4"/>
        </w:numPr>
        <w:jc w:val="both"/>
        <w:rPr>
          <w:sz w:val="28"/>
          <w:szCs w:val="28"/>
          <w:lang w:val="en-US"/>
        </w:rPr>
      </w:pPr>
      <w:r>
        <w:rPr>
          <w:rFonts w:ascii="Helvetica" w:hAnsi="Helvetica"/>
          <w:b w:val="1"/>
          <w:bCs w:val="1"/>
          <w:sz w:val="28"/>
          <w:szCs w:val="28"/>
          <w:rtl w:val="0"/>
          <w:lang w:val="en-US"/>
        </w:rPr>
        <w:t>4.3.30 Amend to:</w:t>
      </w:r>
      <w:r>
        <w:rPr>
          <w:rFonts w:ascii="Helvetica" w:hAnsi="Helvetica" w:hint="default"/>
          <w:sz w:val="28"/>
          <w:szCs w:val="28"/>
          <w:rtl w:val="0"/>
          <w:lang w:val="en-US"/>
        </w:rPr>
        <w:t xml:space="preserve"> “</w:t>
      </w:r>
      <w:r>
        <w:rPr>
          <w:i w:val="1"/>
          <w:iCs w:val="1"/>
          <w:sz w:val="28"/>
          <w:szCs w:val="28"/>
          <w:rtl w:val="0"/>
          <w:lang w:val="en-US"/>
        </w:rPr>
        <w:t>We do however wish to ensure that whilst accommodating this growth, we are able to protect the remaining countryside around it from inappropriate development</w:t>
      </w:r>
      <w:r>
        <w:rPr>
          <w:i w:val="1"/>
          <w:iCs w:val="1"/>
          <w:sz w:val="28"/>
          <w:szCs w:val="28"/>
          <w:rtl w:val="0"/>
          <w:lang w:val="en-US"/>
        </w:rPr>
        <w:t xml:space="preserve"> </w:t>
      </w:r>
      <w:r>
        <w:rPr>
          <w:i w:val="1"/>
          <w:iCs w:val="1"/>
          <w:sz w:val="28"/>
          <w:szCs w:val="28"/>
          <w:rtl w:val="0"/>
          <w:lang w:val="en-US"/>
        </w:rPr>
        <w:t>in order to protect its intrinsic character and preserve the role it plays in maintaining the separate identity of Ash, Tongham and Ash Green.</w:t>
      </w:r>
      <w:r>
        <w:rPr>
          <w:i w:val="1"/>
          <w:iCs w:val="1"/>
          <w:sz w:val="28"/>
          <w:szCs w:val="28"/>
          <w:rtl w:val="0"/>
          <w:lang w:val="en-US"/>
        </w:rPr>
        <w:t>”</w:t>
      </w:r>
    </w:p>
    <w:p>
      <w:pPr>
        <w:pStyle w:val="Body"/>
        <w:jc w:val="both"/>
      </w:pPr>
    </w:p>
    <w:p>
      <w:pPr>
        <w:pStyle w:val="Body"/>
        <w:numPr>
          <w:ilvl w:val="0"/>
          <w:numId w:val="4"/>
        </w:numPr>
        <w:jc w:val="both"/>
        <w:rPr>
          <w:sz w:val="28"/>
          <w:szCs w:val="28"/>
          <w:lang w:val="en-US"/>
        </w:rPr>
      </w:pPr>
      <w:r>
        <w:rPr>
          <w:b w:val="1"/>
          <w:bCs w:val="1"/>
          <w:sz w:val="28"/>
          <w:szCs w:val="28"/>
          <w:rtl w:val="0"/>
          <w:lang w:val="en-US"/>
        </w:rPr>
        <w:t>Policy P3 Amend to:</w:t>
      </w:r>
      <w:r>
        <w:rPr>
          <w:sz w:val="28"/>
          <w:szCs w:val="28"/>
          <w:rtl w:val="0"/>
          <w:lang w:val="en-US"/>
        </w:rPr>
        <w:t xml:space="preserve"> (1) (c) should be amended to read </w:t>
      </w:r>
      <w:r>
        <w:rPr>
          <w:sz w:val="28"/>
          <w:szCs w:val="28"/>
          <w:rtl w:val="0"/>
          <w:lang w:val="en-US"/>
        </w:rPr>
        <w:t>“</w:t>
      </w:r>
      <w:r>
        <w:rPr>
          <w:i w:val="1"/>
          <w:iCs w:val="1"/>
          <w:sz w:val="28"/>
          <w:szCs w:val="28"/>
          <w:rtl w:val="0"/>
          <w:lang w:val="en-US"/>
        </w:rPr>
        <w:t>does not lead to greater physical or visual coalescence between the Ash and Tongham urban area</w:t>
      </w:r>
      <w:r>
        <w:rPr>
          <w:i w:val="1"/>
          <w:iCs w:val="1"/>
          <w:color w:val="0432ff"/>
          <w:sz w:val="28"/>
          <w:szCs w:val="28"/>
          <w:rtl w:val="0"/>
          <w:lang w:val="en-US"/>
        </w:rPr>
        <w:t xml:space="preserve">, </w:t>
      </w:r>
      <w:r>
        <w:rPr>
          <w:i w:val="1"/>
          <w:iCs w:val="1"/>
          <w:sz w:val="28"/>
          <w:szCs w:val="28"/>
          <w:rtl w:val="0"/>
          <w:lang w:val="en-US"/>
        </w:rPr>
        <w:t xml:space="preserve">Ash Green </w:t>
      </w:r>
      <w:r>
        <w:rPr>
          <w:i w:val="1"/>
          <w:iCs w:val="1"/>
          <w:sz w:val="28"/>
          <w:szCs w:val="28"/>
          <w:rtl w:val="0"/>
          <w:lang w:val="en-US"/>
        </w:rPr>
        <w:t>and Aldershot.</w:t>
      </w:r>
      <w:r>
        <w:rPr>
          <w:i w:val="1"/>
          <w:iCs w:val="1"/>
          <w:sz w:val="28"/>
          <w:szCs w:val="28"/>
          <w:rtl w:val="0"/>
          <w:lang w:val="en-US"/>
        </w:rPr>
        <w:t>”</w:t>
      </w:r>
    </w:p>
    <w:p>
      <w:pPr>
        <w:pStyle w:val="Body"/>
        <w:jc w:val="both"/>
      </w:pPr>
    </w:p>
    <w:p>
      <w:pPr>
        <w:pStyle w:val="Body"/>
        <w:jc w:val="both"/>
      </w:pPr>
    </w:p>
    <w:p>
      <w:pPr>
        <w:pStyle w:val="Body"/>
        <w:jc w:val="both"/>
      </w:pPr>
    </w:p>
    <w:p>
      <w:pPr>
        <w:pStyle w:val="Body"/>
        <w:jc w:val="both"/>
      </w:pPr>
    </w:p>
    <w:p>
      <w:pPr>
        <w:pStyle w:val="Body"/>
        <w:jc w:val="both"/>
      </w:pPr>
      <w:r>
        <w:rPr>
          <w:b w:val="1"/>
          <w:bCs w:val="1"/>
          <w:i w:val="1"/>
          <w:iCs w:val="1"/>
          <w:sz w:val="28"/>
          <w:szCs w:val="28"/>
          <w:rtl w:val="0"/>
          <w:lang w:val="en-US"/>
        </w:rPr>
        <w:t xml:space="preserve">2.  </w:t>
      </w:r>
      <w:r>
        <w:rPr>
          <w:b w:val="1"/>
          <w:bCs w:val="1"/>
          <w:sz w:val="28"/>
          <w:szCs w:val="28"/>
          <w:u w:val="single"/>
          <w:rtl w:val="0"/>
          <w:lang w:val="en-US"/>
        </w:rPr>
        <w:t>Policy A29: Land to the south and east of Ash and Tongham</w:t>
      </w:r>
    </w:p>
    <w:p>
      <w:pPr>
        <w:pStyle w:val="Body"/>
        <w:jc w:val="both"/>
      </w:pPr>
    </w:p>
    <w:p>
      <w:pPr>
        <w:pStyle w:val="Body"/>
        <w:numPr>
          <w:ilvl w:val="0"/>
          <w:numId w:val="4"/>
        </w:numPr>
        <w:jc w:val="both"/>
        <w:rPr>
          <w:sz w:val="28"/>
          <w:szCs w:val="28"/>
          <w:lang w:val="en-US"/>
        </w:rPr>
      </w:pPr>
      <w:r>
        <w:rPr>
          <w:sz w:val="28"/>
          <w:szCs w:val="28"/>
          <w:rtl w:val="0"/>
          <w:lang w:val="en-US"/>
        </w:rPr>
        <w:t xml:space="preserve">I </w:t>
      </w:r>
      <w:r>
        <w:rPr>
          <w:sz w:val="28"/>
          <w:szCs w:val="28"/>
          <w:rtl w:val="0"/>
          <w:lang w:val="en-US"/>
        </w:rPr>
        <w:t xml:space="preserve">object to the increase from 1200 to 1750 homes as this would result in the coalescence of the Ash &amp; Tongham Urban Area and Ash Green Village.  This is contrary to Policy P3 (Countryside).  Therefore Requirement 6 of this Policy, which attempts to protect the </w:t>
      </w:r>
      <w:r>
        <w:rPr>
          <w:sz w:val="28"/>
          <w:szCs w:val="28"/>
          <w:rtl w:val="0"/>
        </w:rPr>
        <w:t>“</w:t>
      </w:r>
      <w:r>
        <w:rPr>
          <w:sz w:val="28"/>
          <w:szCs w:val="28"/>
          <w:rtl w:val="0"/>
          <w:lang w:val="en-US"/>
        </w:rPr>
        <w:t>historic location of Ash Green</w:t>
      </w:r>
      <w:r>
        <w:rPr>
          <w:sz w:val="28"/>
          <w:szCs w:val="28"/>
          <w:rtl w:val="0"/>
        </w:rPr>
        <w:t>”</w:t>
      </w:r>
      <w:r>
        <w:rPr>
          <w:sz w:val="28"/>
          <w:szCs w:val="28"/>
          <w:rtl w:val="0"/>
          <w:lang w:val="en-US"/>
        </w:rPr>
        <w:t>, is inadequate and would need rewording to prevent this increased potential for coalescence.</w:t>
      </w:r>
      <w:r>
        <w:rPr>
          <w:rFonts w:ascii="Arial Unicode MS" w:cs="Arial Unicode MS" w:hAnsi="Arial Unicode MS" w:eastAsia="Arial Unicode MS"/>
          <w:b w:val="0"/>
          <w:bCs w:val="0"/>
          <w:i w:val="0"/>
          <w:iCs w:val="0"/>
          <w:sz w:val="28"/>
          <w:szCs w:val="28"/>
        </w:rPr>
        <w:br w:type="page"/>
      </w:r>
    </w:p>
    <w:p>
      <w:pPr>
        <w:pStyle w:val="Body"/>
        <w:jc w:val="both"/>
      </w:pPr>
      <w:r>
        <w:rPr>
          <w:b w:val="1"/>
          <w:bCs w:val="1"/>
          <w:i w:val="1"/>
          <w:iCs w:val="1"/>
          <w:sz w:val="28"/>
          <w:szCs w:val="28"/>
          <w:rtl w:val="0"/>
          <w:lang w:val="en-US"/>
        </w:rPr>
        <w:t xml:space="preserve">2.  </w:t>
      </w:r>
      <w:r>
        <w:rPr>
          <w:b w:val="1"/>
          <w:bCs w:val="1"/>
          <w:sz w:val="28"/>
          <w:szCs w:val="28"/>
          <w:u w:val="single"/>
          <w:rtl w:val="0"/>
          <w:lang w:val="en-US"/>
        </w:rPr>
        <w:t>Policy A29: Land to the south and east of Ash and Tongham (Cont.)</w:t>
      </w:r>
    </w:p>
    <w:p>
      <w:pPr>
        <w:pStyle w:val="Body"/>
        <w:ind w:left="283" w:firstLine="0"/>
        <w:jc w:val="both"/>
      </w:pPr>
    </w:p>
    <w:p>
      <w:pPr>
        <w:pStyle w:val="Body"/>
        <w:ind w:left="283" w:firstLine="0"/>
        <w:jc w:val="both"/>
      </w:pPr>
      <w:r>
        <w:rPr>
          <w:sz w:val="28"/>
          <w:szCs w:val="28"/>
          <w:rtl w:val="0"/>
          <w:lang w:val="en-US"/>
        </w:rPr>
        <w:t>“</w:t>
      </w:r>
      <w:r>
        <w:rPr>
          <w:sz w:val="28"/>
          <w:szCs w:val="28"/>
          <w:rtl w:val="0"/>
          <w:lang w:val="en-US"/>
        </w:rPr>
        <w:t>Development proposals in the vicinity of Ash Green to have recognition of the hi</w:t>
      </w:r>
      <w:r>
        <w:rPr>
          <w:sz w:val="28"/>
          <w:szCs w:val="28"/>
          <w:rtl w:val="0"/>
          <w:lang w:val="en-US"/>
        </w:rPr>
        <w:t>storic location of Ash Green village</w:t>
      </w:r>
      <w:r>
        <w:rPr>
          <w:sz w:val="28"/>
          <w:szCs w:val="28"/>
          <w:rtl w:val="0"/>
          <w:lang w:val="en-US"/>
        </w:rPr>
        <w:t xml:space="preserve"> and t</w:t>
      </w:r>
      <w:r>
        <w:rPr>
          <w:sz w:val="28"/>
          <w:szCs w:val="28"/>
          <w:rtl w:val="0"/>
          <w:lang w:val="en-US"/>
        </w:rPr>
        <w:t xml:space="preserve">he </w:t>
      </w:r>
      <w:r>
        <w:rPr>
          <w:sz w:val="28"/>
          <w:szCs w:val="28"/>
          <w:rtl w:val="0"/>
          <w:lang w:val="en-US"/>
        </w:rPr>
        <w:t xml:space="preserve">intrinsic rural </w:t>
      </w:r>
      <w:r>
        <w:rPr>
          <w:sz w:val="28"/>
          <w:szCs w:val="28"/>
          <w:rtl w:val="0"/>
          <w:lang w:val="en-US"/>
        </w:rPr>
        <w:t xml:space="preserve">character </w:t>
      </w:r>
      <w:r>
        <w:rPr>
          <w:sz w:val="28"/>
          <w:szCs w:val="28"/>
          <w:rtl w:val="0"/>
          <w:lang w:val="en-US"/>
        </w:rPr>
        <w:t>of its</w:t>
      </w:r>
      <w:r>
        <w:rPr>
          <w:sz w:val="28"/>
          <w:szCs w:val="28"/>
          <w:rtl w:val="0"/>
          <w:lang w:val="en-US"/>
        </w:rPr>
        <w:t xml:space="preserve"> countryside</w:t>
      </w:r>
      <w:r>
        <w:rPr>
          <w:sz w:val="28"/>
          <w:szCs w:val="28"/>
          <w:rtl w:val="0"/>
          <w:lang w:val="en-US"/>
        </w:rPr>
        <w:t xml:space="preserve"> location</w:t>
      </w:r>
      <w:r>
        <w:rPr>
          <w:sz w:val="28"/>
          <w:szCs w:val="28"/>
          <w:rtl w:val="0"/>
        </w:rPr>
        <w:t xml:space="preserve">. </w:t>
      </w:r>
      <w:r>
        <w:rPr>
          <w:sz w:val="28"/>
          <w:szCs w:val="28"/>
          <w:rtl w:val="0"/>
          <w:lang w:val="en-US"/>
        </w:rPr>
        <w:t xml:space="preserve"> </w:t>
      </w:r>
      <w:r>
        <w:rPr>
          <w:sz w:val="28"/>
          <w:szCs w:val="28"/>
          <w:rtl w:val="0"/>
          <w:lang w:val="en-US"/>
        </w:rPr>
        <w:t>The properties along Ash Green Road form part of Ash Green village</w:t>
      </w:r>
      <w:r>
        <w:rPr>
          <w:sz w:val="28"/>
          <w:szCs w:val="28"/>
          <w:rtl w:val="0"/>
          <w:lang w:val="en-US"/>
        </w:rPr>
        <w:t>.</w:t>
      </w:r>
      <w:r>
        <w:rPr>
          <w:sz w:val="28"/>
          <w:szCs w:val="28"/>
          <w:rtl w:val="0"/>
        </w:rPr>
        <w:t xml:space="preserve"> </w:t>
      </w:r>
      <w:r>
        <w:rPr>
          <w:sz w:val="28"/>
          <w:szCs w:val="28"/>
          <w:rtl w:val="0"/>
          <w:lang w:val="en-US"/>
        </w:rPr>
        <w:t>P</w:t>
      </w:r>
      <w:r>
        <w:rPr>
          <w:sz w:val="28"/>
          <w:szCs w:val="28"/>
          <w:rtl w:val="0"/>
          <w:lang w:val="en-US"/>
        </w:rPr>
        <w:t>roposals for the land west of this road</w:t>
      </w:r>
      <w:r>
        <w:rPr>
          <w:sz w:val="28"/>
          <w:szCs w:val="28"/>
          <w:rtl w:val="0"/>
          <w:lang w:val="en-US"/>
        </w:rPr>
        <w:t xml:space="preserve"> and to the south east of Foreman Road / White Lane</w:t>
      </w:r>
      <w:r>
        <w:rPr>
          <w:sz w:val="28"/>
          <w:szCs w:val="28"/>
          <w:rtl w:val="0"/>
        </w:rPr>
        <w:t xml:space="preserve"> </w:t>
      </w:r>
      <w:r>
        <w:rPr>
          <w:sz w:val="28"/>
          <w:szCs w:val="28"/>
          <w:rtl w:val="0"/>
          <w:lang w:val="en-US"/>
        </w:rPr>
        <w:t xml:space="preserve">must </w:t>
      </w:r>
      <w:r>
        <w:rPr>
          <w:sz w:val="28"/>
          <w:szCs w:val="28"/>
          <w:rtl w:val="0"/>
          <w:lang w:val="en-US"/>
        </w:rPr>
        <w:t>respect the historical context of this area</w:t>
      </w:r>
      <w:r>
        <w:rPr>
          <w:sz w:val="28"/>
          <w:szCs w:val="28"/>
          <w:rtl w:val="0"/>
          <w:lang w:val="en-US"/>
        </w:rPr>
        <w:t xml:space="preserve"> by preventing the coalescence of Ash, Tongham and Ash Green</w:t>
      </w:r>
      <w:r>
        <w:rPr>
          <w:sz w:val="28"/>
          <w:szCs w:val="28"/>
          <w:rtl w:val="0"/>
        </w:rPr>
        <w:t xml:space="preserve">. </w:t>
      </w:r>
      <w:r>
        <w:rPr>
          <w:sz w:val="28"/>
          <w:szCs w:val="28"/>
          <w:rtl w:val="0"/>
          <w:lang w:val="en-US"/>
        </w:rPr>
        <w:t xml:space="preserve"> Any</w:t>
      </w:r>
      <w:r>
        <w:rPr>
          <w:sz w:val="28"/>
          <w:szCs w:val="28"/>
          <w:rtl w:val="0"/>
          <w:lang w:val="en-US"/>
        </w:rPr>
        <w:t xml:space="preserve"> development as a whole will not be of a size and scale that would detract from the character of the rural landscape</w:t>
      </w:r>
      <w:r>
        <w:rPr>
          <w:sz w:val="28"/>
          <w:szCs w:val="28"/>
          <w:rtl w:val="0"/>
          <w:lang w:val="en-US"/>
        </w:rPr>
        <w:t>.</w:t>
      </w:r>
      <w:r>
        <w:rPr>
          <w:sz w:val="28"/>
          <w:szCs w:val="28"/>
          <w:rtl w:val="0"/>
        </w:rPr>
        <w:t xml:space="preserve"> </w:t>
      </w:r>
      <w:r>
        <w:rPr>
          <w:sz w:val="28"/>
          <w:szCs w:val="28"/>
          <w:rtl w:val="0"/>
          <w:lang w:val="en-US"/>
        </w:rPr>
        <w:t xml:space="preserve"> </w:t>
      </w:r>
      <w:r>
        <w:rPr>
          <w:sz w:val="28"/>
          <w:szCs w:val="28"/>
          <w:rtl w:val="0"/>
          <w:lang w:val="en-US"/>
        </w:rPr>
        <w:t xml:space="preserve">This </w:t>
      </w:r>
      <w:r>
        <w:rPr>
          <w:sz w:val="28"/>
          <w:szCs w:val="28"/>
          <w:rtl w:val="0"/>
          <w:lang w:val="en-US"/>
        </w:rPr>
        <w:t xml:space="preserve">must </w:t>
      </w:r>
      <w:r>
        <w:rPr>
          <w:sz w:val="28"/>
          <w:szCs w:val="28"/>
          <w:rtl w:val="0"/>
          <w:lang w:val="en-US"/>
        </w:rPr>
        <w:t>include the provision of a green buffer that maintain</w:t>
      </w:r>
      <w:r>
        <w:rPr>
          <w:sz w:val="28"/>
          <w:szCs w:val="28"/>
          <w:rtl w:val="0"/>
          <w:lang w:val="en-US"/>
        </w:rPr>
        <w:t>s</w:t>
      </w:r>
      <w:r>
        <w:rPr>
          <w:sz w:val="28"/>
          <w:szCs w:val="28"/>
          <w:rtl w:val="0"/>
          <w:lang w:val="en-US"/>
        </w:rPr>
        <w:t xml:space="preserve"> separation between </w:t>
      </w:r>
      <w:r>
        <w:rPr>
          <w:strike w:val="1"/>
          <w:dstrike w:val="0"/>
          <w:sz w:val="28"/>
          <w:szCs w:val="28"/>
          <w:rtl w:val="0"/>
          <w:lang w:val="en-US"/>
        </w:rPr>
        <w:t>the</w:t>
      </w:r>
      <w:r>
        <w:rPr>
          <w:sz w:val="28"/>
          <w:szCs w:val="28"/>
          <w:rtl w:val="0"/>
        </w:rPr>
        <w:t xml:space="preserve"> </w:t>
      </w:r>
      <w:r>
        <w:rPr>
          <w:sz w:val="28"/>
          <w:szCs w:val="28"/>
          <w:rtl w:val="0"/>
          <w:lang w:val="en-US"/>
        </w:rPr>
        <w:t xml:space="preserve">any </w:t>
      </w:r>
      <w:r>
        <w:rPr>
          <w:sz w:val="28"/>
          <w:szCs w:val="28"/>
          <w:rtl w:val="0"/>
          <w:lang w:val="en-US"/>
        </w:rPr>
        <w:t>proposed new development and the properties fronting onto Ash Green Road</w:t>
      </w:r>
      <w:r>
        <w:rPr>
          <w:sz w:val="28"/>
          <w:szCs w:val="28"/>
          <w:rtl w:val="0"/>
          <w:lang w:val="en-US"/>
        </w:rPr>
        <w:t>, Foreman Road and White Lane</w:t>
      </w:r>
      <w:r>
        <w:rPr>
          <w:sz w:val="28"/>
          <w:szCs w:val="28"/>
          <w:rtl w:val="0"/>
          <w:lang w:val="en-US"/>
        </w:rPr>
        <w:t>. This will also help soften the edges of the strategic development location and provide a transition between the built up area and the countryside beyond</w:t>
      </w:r>
      <w:r>
        <w:rPr>
          <w:sz w:val="28"/>
          <w:szCs w:val="28"/>
          <w:rtl w:val="0"/>
          <w:lang w:val="en-US"/>
        </w:rPr>
        <w:t>”</w:t>
      </w:r>
    </w:p>
    <w:p>
      <w:pPr>
        <w:pStyle w:val="Body"/>
        <w:jc w:val="both"/>
      </w:pPr>
    </w:p>
    <w:p>
      <w:pPr>
        <w:pStyle w:val="Body"/>
        <w:jc w:val="both"/>
      </w:pPr>
    </w:p>
    <w:p>
      <w:pPr>
        <w:pStyle w:val="Body"/>
        <w:numPr>
          <w:ilvl w:val="0"/>
          <w:numId w:val="4"/>
        </w:numPr>
        <w:jc w:val="both"/>
        <w:rPr>
          <w:sz w:val="28"/>
          <w:szCs w:val="28"/>
          <w:lang w:val="en-US"/>
        </w:rPr>
      </w:pPr>
      <w:r>
        <w:rPr>
          <w:sz w:val="28"/>
          <w:szCs w:val="28"/>
          <w:rtl w:val="0"/>
          <w:lang w:val="en-US"/>
        </w:rPr>
        <w:t>Requirement 8 does not sufficiently protect Ash Manor, a historical farmstead of three listed buildings including a medieval hall house and should be amended as follows:</w:t>
      </w:r>
    </w:p>
    <w:p>
      <w:pPr>
        <w:pStyle w:val="Body"/>
        <w:jc w:val="both"/>
      </w:pPr>
    </w:p>
    <w:p>
      <w:pPr>
        <w:pStyle w:val="Body"/>
        <w:ind w:left="283" w:firstLine="0"/>
        <w:jc w:val="both"/>
      </w:pPr>
      <w:r>
        <w:rPr>
          <w:sz w:val="28"/>
          <w:szCs w:val="28"/>
          <w:rtl w:val="0"/>
          <w:lang w:val="en-US"/>
        </w:rPr>
        <w:t>“</w:t>
      </w:r>
      <w:r>
        <w:rPr>
          <w:i w:val="1"/>
          <w:iCs w:val="1"/>
          <w:sz w:val="28"/>
          <w:szCs w:val="28"/>
          <w:rtl w:val="0"/>
          <w:lang w:val="en-US"/>
        </w:rPr>
        <w:t>Sensitive design at site boundaries with the adjacent complex of listed buildings at Ash Manor</w:t>
      </w:r>
      <w:r>
        <w:rPr>
          <w:i w:val="1"/>
          <w:iCs w:val="1"/>
          <w:sz w:val="28"/>
          <w:szCs w:val="28"/>
          <w:rtl w:val="0"/>
          <w:lang w:val="en-US"/>
        </w:rPr>
        <w:t>.  Views to and from this heritage asset, including their approach from White Lane, must be protected.</w:t>
      </w:r>
      <w:r>
        <w:rPr>
          <w:sz w:val="28"/>
          <w:szCs w:val="28"/>
          <w:rtl w:val="0"/>
          <w:lang w:val="en-US"/>
        </w:rPr>
        <w:t>”</w:t>
      </w:r>
    </w:p>
    <w:p>
      <w:pPr>
        <w:pStyle w:val="Body"/>
        <w:jc w:val="both"/>
      </w:pPr>
    </w:p>
    <w:p>
      <w:pPr>
        <w:pStyle w:val="Body"/>
        <w:numPr>
          <w:ilvl w:val="0"/>
          <w:numId w:val="4"/>
        </w:numPr>
        <w:jc w:val="both"/>
        <w:rPr>
          <w:sz w:val="28"/>
          <w:szCs w:val="28"/>
          <w:lang w:val="en-US"/>
        </w:rPr>
      </w:pPr>
      <w:r>
        <w:rPr>
          <w:sz w:val="28"/>
          <w:szCs w:val="28"/>
          <w:rtl w:val="0"/>
          <w:lang w:val="en-US"/>
        </w:rPr>
        <w:t>Infrastructure before development.  Requirement 9 (Land and provision for a new road bridge at Ash Station to enable closure of the level crossing) must be competed before any development of Policy A29 commences.</w:t>
      </w:r>
    </w:p>
    <w:p>
      <w:pPr>
        <w:pStyle w:val="Body"/>
        <w:jc w:val="both"/>
      </w:pPr>
    </w:p>
    <w:p>
      <w:pPr>
        <w:pStyle w:val="Body"/>
        <w:numPr>
          <w:ilvl w:val="0"/>
          <w:numId w:val="4"/>
        </w:numPr>
        <w:jc w:val="both"/>
        <w:rPr>
          <w:sz w:val="28"/>
          <w:szCs w:val="28"/>
          <w:lang w:val="en-US"/>
        </w:rPr>
      </w:pPr>
      <w:r>
        <w:rPr>
          <w:sz w:val="28"/>
          <w:szCs w:val="28"/>
          <w:rtl w:val="0"/>
          <w:lang w:val="en-US"/>
        </w:rPr>
        <w:t>Requirement 9 fails to address the other significant transport infrastructure improvements that are required to cope with the increases in traffic generated by Policy A29.  Therefore solutions to the following areas are also required before any development of A29 is permitted.</w:t>
      </w:r>
    </w:p>
    <w:p>
      <w:pPr>
        <w:pStyle w:val="Body"/>
        <w:jc w:val="both"/>
      </w:pPr>
    </w:p>
    <w:p>
      <w:pPr>
        <w:pStyle w:val="Body"/>
        <w:numPr>
          <w:ilvl w:val="2"/>
          <w:numId w:val="6"/>
        </w:numPr>
        <w:jc w:val="both"/>
        <w:rPr>
          <w:sz w:val="28"/>
          <w:szCs w:val="28"/>
          <w:lang w:val="en-US"/>
        </w:rPr>
      </w:pPr>
      <w:r>
        <w:rPr>
          <w:sz w:val="28"/>
          <w:szCs w:val="28"/>
          <w:rtl w:val="0"/>
          <w:lang w:val="en-US"/>
        </w:rPr>
        <w:t>The Street in Tongham</w:t>
      </w:r>
    </w:p>
    <w:p>
      <w:pPr>
        <w:pStyle w:val="Body"/>
        <w:numPr>
          <w:ilvl w:val="2"/>
          <w:numId w:val="6"/>
        </w:numPr>
        <w:jc w:val="both"/>
        <w:rPr>
          <w:sz w:val="28"/>
          <w:szCs w:val="28"/>
          <w:lang w:val="en-US"/>
        </w:rPr>
      </w:pPr>
      <w:r>
        <w:rPr>
          <w:sz w:val="28"/>
          <w:szCs w:val="28"/>
          <w:rtl w:val="0"/>
          <w:lang w:val="en-US"/>
        </w:rPr>
        <w:t>A331/A323 intersection</w:t>
      </w:r>
    </w:p>
    <w:p>
      <w:pPr>
        <w:pStyle w:val="Body"/>
        <w:numPr>
          <w:ilvl w:val="2"/>
          <w:numId w:val="6"/>
        </w:numPr>
        <w:jc w:val="both"/>
        <w:rPr>
          <w:sz w:val="28"/>
          <w:szCs w:val="28"/>
          <w:lang w:val="en-US"/>
        </w:rPr>
      </w:pPr>
      <w:r>
        <w:rPr>
          <w:sz w:val="28"/>
          <w:szCs w:val="28"/>
          <w:rtl w:val="0"/>
          <w:lang w:val="en-US"/>
        </w:rPr>
        <w:t>A31/White Lane junction</w:t>
      </w:r>
    </w:p>
    <w:p>
      <w:pPr>
        <w:pStyle w:val="Body"/>
        <w:jc w:val="both"/>
      </w:pPr>
    </w:p>
    <w:p>
      <w:pPr>
        <w:pStyle w:val="Body"/>
        <w:numPr>
          <w:ilvl w:val="0"/>
          <w:numId w:val="4"/>
        </w:numPr>
        <w:jc w:val="both"/>
        <w:rPr>
          <w:sz w:val="28"/>
          <w:szCs w:val="28"/>
          <w:lang w:val="en-US"/>
        </w:rPr>
      </w:pPr>
      <w:r>
        <w:rPr>
          <w:sz w:val="28"/>
          <w:szCs w:val="28"/>
          <w:rtl w:val="0"/>
          <w:lang w:val="en-US"/>
        </w:rPr>
        <w:t>Ash Green is not part of the Ash &amp; Tongham Urban Area and therefore the ATUA boundary must not extend south of Ash Green Road and Foreman Road</w:t>
      </w:r>
      <w:r>
        <w:rPr>
          <w:sz w:val="28"/>
          <w:szCs w:val="28"/>
          <w:rtl w:val="0"/>
          <w:lang w:val="en-US"/>
        </w:rPr>
        <w:t>.</w:t>
      </w:r>
    </w:p>
    <w:p>
      <w:pPr>
        <w:pStyle w:val="Body"/>
        <w:jc w:val="both"/>
      </w:pPr>
    </w:p>
    <w:p>
      <w:pPr>
        <w:pStyle w:val="Body"/>
        <w:jc w:val="both"/>
      </w:pPr>
    </w:p>
    <w:p>
      <w:pPr>
        <w:pStyle w:val="Body"/>
        <w:jc w:val="both"/>
      </w:pPr>
    </w:p>
    <w:p>
      <w:pPr>
        <w:pStyle w:val="Body"/>
        <w:jc w:val="both"/>
      </w:pPr>
      <w:r>
        <w:rPr>
          <w:rFonts w:ascii="Arial Unicode MS" w:cs="Arial Unicode MS" w:hAnsi="Arial Unicode MS" w:eastAsia="Arial Unicode MS"/>
          <w:b w:val="0"/>
          <w:bCs w:val="0"/>
          <w:i w:val="0"/>
          <w:iCs w:val="0"/>
          <w:sz w:val="28"/>
          <w:szCs w:val="28"/>
        </w:rPr>
        <w:br w:type="page"/>
      </w:r>
    </w:p>
    <w:p>
      <w:pPr>
        <w:pStyle w:val="Body"/>
        <w:jc w:val="both"/>
      </w:pPr>
      <w:r>
        <w:rPr>
          <w:b w:val="1"/>
          <w:bCs w:val="1"/>
          <w:sz w:val="28"/>
          <w:szCs w:val="28"/>
          <w:rtl w:val="0"/>
          <w:lang w:val="en-US"/>
        </w:rPr>
        <w:t>3. Policy A28: Land to the east of White Lane, Ash Green</w:t>
      </w:r>
    </w:p>
    <w:p>
      <w:pPr>
        <w:pStyle w:val="Body"/>
        <w:jc w:val="both"/>
      </w:pPr>
    </w:p>
    <w:p>
      <w:pPr>
        <w:pStyle w:val="Body"/>
        <w:numPr>
          <w:ilvl w:val="0"/>
          <w:numId w:val="4"/>
        </w:numPr>
        <w:jc w:val="both"/>
        <w:rPr>
          <w:sz w:val="28"/>
          <w:szCs w:val="28"/>
          <w:lang w:val="en-US"/>
        </w:rPr>
      </w:pPr>
      <w:r>
        <w:rPr>
          <w:sz w:val="28"/>
          <w:szCs w:val="28"/>
          <w:rtl w:val="0"/>
          <w:lang w:val="en-US"/>
        </w:rPr>
        <w:t>Correct title of Policy A28 to say</w:t>
      </w:r>
      <w:r>
        <w:rPr>
          <w:sz w:val="28"/>
          <w:szCs w:val="28"/>
          <w:rtl w:val="0"/>
          <w:lang w:val="en-US"/>
        </w:rPr>
        <w:t xml:space="preserve"> </w:t>
      </w:r>
      <w:r>
        <w:rPr>
          <w:i w:val="1"/>
          <w:iCs w:val="1"/>
          <w:sz w:val="28"/>
          <w:szCs w:val="28"/>
          <w:rtl w:val="0"/>
          <w:lang w:val="en-US"/>
        </w:rPr>
        <w:t xml:space="preserve">Ash </w:t>
      </w:r>
      <w:r>
        <w:rPr>
          <w:i w:val="1"/>
          <w:iCs w:val="1"/>
          <w:sz w:val="28"/>
          <w:szCs w:val="28"/>
          <w:u w:val="single"/>
          <w:rtl w:val="0"/>
          <w:lang w:val="en-US"/>
        </w:rPr>
        <w:t>Green</w:t>
      </w:r>
      <w:r>
        <w:rPr>
          <w:sz w:val="28"/>
          <w:szCs w:val="28"/>
          <w:rtl w:val="0"/>
          <w:lang w:val="en-US"/>
        </w:rPr>
        <w:t>,</w:t>
      </w:r>
      <w:r>
        <w:rPr>
          <w:sz w:val="28"/>
          <w:szCs w:val="28"/>
          <w:rtl w:val="0"/>
          <w:lang w:val="en-US"/>
        </w:rPr>
        <w:t xml:space="preserve"> and not </w:t>
      </w:r>
      <w:r>
        <w:rPr>
          <w:i w:val="1"/>
          <w:iCs w:val="1"/>
          <w:sz w:val="28"/>
          <w:szCs w:val="28"/>
          <w:rtl w:val="0"/>
          <w:lang w:val="en-US"/>
        </w:rPr>
        <w:t>Ash</w:t>
      </w:r>
      <w:r>
        <w:rPr>
          <w:sz w:val="28"/>
          <w:szCs w:val="28"/>
          <w:rtl w:val="0"/>
          <w:lang w:val="en-US"/>
        </w:rPr>
        <w:t>.</w:t>
      </w:r>
    </w:p>
    <w:p>
      <w:pPr>
        <w:pStyle w:val="Body"/>
        <w:jc w:val="both"/>
      </w:pPr>
    </w:p>
    <w:p>
      <w:pPr>
        <w:pStyle w:val="Body"/>
        <w:numPr>
          <w:ilvl w:val="0"/>
          <w:numId w:val="4"/>
        </w:numPr>
        <w:jc w:val="both"/>
        <w:rPr>
          <w:sz w:val="28"/>
          <w:szCs w:val="28"/>
          <w:lang w:val="en-US"/>
        </w:rPr>
      </w:pPr>
      <w:r>
        <w:rPr>
          <w:sz w:val="28"/>
          <w:szCs w:val="28"/>
          <w:rtl w:val="0"/>
          <w:lang w:val="en-US"/>
        </w:rPr>
        <w:t>Policies A27, A28 and A29 collectively increase Ash Green village by 50%.  Opportunity exists under Policy A28 to provide a village/community hall and recreational area which would provide Ash Green with much needed community and social space.</w:t>
      </w:r>
    </w:p>
    <w:p>
      <w:pPr>
        <w:pStyle w:val="Body"/>
        <w:ind w:left="283" w:firstLine="0"/>
        <w:jc w:val="both"/>
      </w:pPr>
    </w:p>
    <w:p>
      <w:pPr>
        <w:pStyle w:val="Body"/>
        <w:ind w:left="283" w:firstLine="0"/>
        <w:jc w:val="both"/>
      </w:pPr>
      <w:r>
        <w:rPr>
          <w:sz w:val="28"/>
          <w:szCs w:val="28"/>
          <w:rtl w:val="0"/>
          <w:lang w:val="en-US"/>
        </w:rPr>
        <w:t xml:space="preserve">Opportunities (1) Should read: </w:t>
      </w:r>
      <w:r>
        <w:rPr>
          <w:i w:val="1"/>
          <w:iCs w:val="1"/>
          <w:sz w:val="28"/>
          <w:szCs w:val="28"/>
          <w:rtl w:val="0"/>
          <w:lang w:val="en-US"/>
        </w:rPr>
        <w:t>“</w:t>
      </w:r>
      <w:r>
        <w:rPr>
          <w:i w:val="1"/>
          <w:iCs w:val="1"/>
          <w:sz w:val="28"/>
          <w:szCs w:val="28"/>
          <w:rtl w:val="0"/>
          <w:lang w:val="en-US"/>
        </w:rPr>
        <w:t xml:space="preserve">To create a centre for the village by including a village hall with associated recreational space providing much needed facilities for the Ash Green community.  </w:t>
      </w:r>
      <w:r>
        <w:rPr>
          <w:i w:val="1"/>
          <w:iCs w:val="1"/>
          <w:sz w:val="28"/>
          <w:szCs w:val="28"/>
          <w:rtl w:val="0"/>
          <w:lang w:val="en-US"/>
        </w:rPr>
        <w:t>A mix of homes (C3) and accommodation for older people (C2) could be appropriate for this site</w:t>
      </w:r>
      <w:r>
        <w:rPr>
          <w:i w:val="1"/>
          <w:iCs w:val="1"/>
          <w:sz w:val="28"/>
          <w:szCs w:val="28"/>
          <w:rtl w:val="0"/>
          <w:lang w:val="en-US"/>
        </w:rPr>
        <w:t>.</w:t>
      </w:r>
      <w:r>
        <w:rPr>
          <w:i w:val="1"/>
          <w:iCs w:val="1"/>
          <w:sz w:val="28"/>
          <w:szCs w:val="28"/>
          <w:rtl w:val="0"/>
          <w:lang w:val="en-US"/>
        </w:rPr>
        <w:t>”</w:t>
      </w:r>
    </w:p>
    <w:p>
      <w:pPr>
        <w:pStyle w:val="Body"/>
        <w:jc w:val="both"/>
      </w:pPr>
    </w:p>
    <w:p>
      <w:pPr>
        <w:pStyle w:val="Body"/>
        <w:numPr>
          <w:ilvl w:val="0"/>
          <w:numId w:val="4"/>
        </w:numPr>
        <w:jc w:val="both"/>
        <w:rPr>
          <w:sz w:val="28"/>
          <w:szCs w:val="28"/>
          <w:lang w:val="en-US"/>
        </w:rPr>
      </w:pPr>
      <w:r>
        <w:rPr>
          <w:sz w:val="28"/>
          <w:szCs w:val="28"/>
          <w:rtl w:val="0"/>
          <w:lang w:val="en-US"/>
        </w:rPr>
        <w:t>Ash Green is not part of the Ash &amp; Tongham Urban Area and therefore the ATUA boundary must not extend south of Ash Green Road and Foreman Road.</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284" w:hanging="284"/>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1">
      <w:start w:val="1"/>
      <w:numFmt w:val="bullet"/>
      <w:suff w:val="tab"/>
      <w:lvlText w:val="•"/>
      <w:lvlJc w:val="left"/>
      <w:pPr>
        <w:ind w:left="5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2">
      <w:start w:val="1"/>
      <w:numFmt w:val="bullet"/>
      <w:suff w:val="tab"/>
      <w:lvlText w:val="•"/>
      <w:lvlJc w:val="left"/>
      <w:pPr>
        <w:ind w:left="7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3">
      <w:start w:val="1"/>
      <w:numFmt w:val="bullet"/>
      <w:suff w:val="tab"/>
      <w:lvlText w:val="•"/>
      <w:lvlJc w:val="left"/>
      <w:pPr>
        <w:ind w:left="10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4">
      <w:start w:val="1"/>
      <w:numFmt w:val="bullet"/>
      <w:suff w:val="tab"/>
      <w:lvlText w:val="•"/>
      <w:lvlJc w:val="left"/>
      <w:pPr>
        <w:ind w:left="126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5">
      <w:start w:val="1"/>
      <w:numFmt w:val="bullet"/>
      <w:suff w:val="tab"/>
      <w:lvlText w:val="•"/>
      <w:lvlJc w:val="left"/>
      <w:pPr>
        <w:ind w:left="15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6">
      <w:start w:val="1"/>
      <w:numFmt w:val="bullet"/>
      <w:suff w:val="tab"/>
      <w:lvlText w:val="•"/>
      <w:lvlJc w:val="left"/>
      <w:pPr>
        <w:ind w:left="17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7">
      <w:start w:val="1"/>
      <w:numFmt w:val="bullet"/>
      <w:suff w:val="tab"/>
      <w:lvlText w:val="•"/>
      <w:lvlJc w:val="left"/>
      <w:pPr>
        <w:ind w:left="19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8">
      <w:start w:val="1"/>
      <w:numFmt w:val="bullet"/>
      <w:suff w:val="tab"/>
      <w:lvlText w:val="•"/>
      <w:lvlJc w:val="left"/>
      <w:pPr>
        <w:ind w:left="22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138" w:hanging="5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524" w:hanging="4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564" w:hanging="4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5604" w:hanging="4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6644" w:hanging="4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684" w:hanging="4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8724" w:hanging="40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numbering" w:styleId="Bullet Big">
    <w:name w:val="Bullet Big"/>
    <w:pPr>
      <w:numPr>
        <w:numId w:val="3"/>
      </w:numPr>
    </w:pPr>
  </w:style>
  <w:style w:type="numbering" w:styleId="Lettered">
    <w:name w:val="Lettered"/>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